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sz w:val="20"/>
          <w:szCs w:val="20"/>
        </w:rPr>
        <w:t xml:space="preserve">Colloque international et École Chercheur Connecter-IA</w:t>
      </w:r>
    </w:p>
    <w:p>
      <w:pPr>
        <w:spacing w:after="240"/>
        <w:jc w:val="center"/>
      </w:pPr>
      <w:r>
        <w:rPr>
          <w:rFonts w:ascii="Times New Roman" w:cs="Times New Roman" w:eastAsia="Times New Roman" w:hAnsi="Times New Roman"/>
          <w:i/>
          <w:iCs/>
          <w:sz w:val="20"/>
          <w:szCs w:val="20"/>
        </w:rPr>
        <w:t xml:space="preserve">Repenser l’éducation à l’ère de l’intelligence artificielle</w:t>
      </w:r>
    </w:p>
    <w:p>
      <w:pPr>
        <w:spacing w:after="160"/>
        <w:jc w:val="center"/>
      </w:pPr>
      <w:r>
        <w:rPr>
          <w:rFonts w:ascii="Times New Roman" w:cs="Times New Roman" w:eastAsia="Times New Roman" w:hAnsi="Times New Roman"/>
          <w:b/>
          <w:bCs/>
          <w:sz w:val="34"/>
          <w:szCs w:val="34"/>
        </w:rPr>
        <w:t xml:space="preserve">Titre précis et informatif de l’article</w:t>
      </w:r>
    </w:p>
    <w:p>
      <w:pPr>
        <w:spacing w:after="240"/>
        <w:jc w:val="center"/>
      </w:pPr>
      <w:r>
        <w:rPr>
          <w:rFonts w:ascii="Times New Roman" w:cs="Times New Roman" w:eastAsia="Times New Roman" w:hAnsi="Times New Roman"/>
          <w:i/>
          <w:iCs/>
          <w:sz w:val="20"/>
          <w:szCs w:val="20"/>
        </w:rPr>
        <w:t xml:space="preserve">[Noms, affiliations, ORCID et adresses électroniques retirés pour l’évaluation en double aveugle]</w:t>
      </w:r>
    </w:p>
    <w:p>
      <w:pPr>
        <w:spacing w:after="100" w:before="120"/>
      </w:pPr>
      <w:r>
        <w:rPr>
          <w:rFonts w:ascii="Times New Roman" w:cs="Times New Roman" w:eastAsia="Times New Roman" w:hAnsi="Times New Roman"/>
          <w:b/>
          <w:bCs/>
          <w:sz w:val="24"/>
          <w:szCs w:val="24"/>
        </w:rPr>
        <w:t xml:space="preserve">Résumé</w:t>
      </w:r>
    </w:p>
    <w:p>
      <w:pPr>
        <w:spacing w:after="120" w:line="276"/>
        <w:jc w:val="both"/>
      </w:pPr>
      <w:r>
        <w:rPr>
          <w:rFonts w:ascii="Times New Roman" w:cs="Times New Roman" w:eastAsia="Times New Roman" w:hAnsi="Times New Roman"/>
          <w:sz w:val="22"/>
          <w:szCs w:val="22"/>
        </w:rPr>
        <w:t xml:space="preserve">L’intelligence artificielle transforme les pratiques d’enseignement, les modalités d’apprentissage et le pilotage des systèmes éducatifs. Dans les pays francophones du Sud, cette évolution s’inscrit toutefois dans des contextes marqués par des ressources inégalement réparties, une fracture numérique persistante et des besoins importants de formation. Cet article examine, à titre d’illustration, les conditions d’une intégration responsable et contextualisée de l’intelligence artificielle dans l’éducation. La problématique porte sur l’articulation entre innovation pédagogique, équité d’accès, protection des données et maintien d’une médiation humaine significative. L’objectif est d’identifier les facteurs qui favorisent des usages utiles, inclusifs et évaluables, sans réduire l’adoption de l’intelligence artificielle à la seule disponibilité d’outils génératifs.</w:t>
      </w:r>
    </w:p>
    <w:p>
      <w:pPr>
        <w:spacing w:after="120" w:line="276"/>
        <w:jc w:val="both"/>
      </w:pPr>
      <w:r>
        <w:rPr>
          <w:rFonts w:ascii="Times New Roman" w:cs="Times New Roman" w:eastAsia="Times New Roman" w:hAnsi="Times New Roman"/>
          <w:sz w:val="22"/>
          <w:szCs w:val="22"/>
        </w:rPr>
        <w:t xml:space="preserve">La méthodologie proposée combine une revue ciblée de la littérature, une enquête par questionnaire auprès d’enseignants et d’apprenants, ainsi que des entretiens semi-directifs avec des responsables institutionnels et des concepteurs de solutions éducatives. Les données quantitatives sont analysées à l’aide de statistiques descriptives, tandis qu’une analyse thématique est appliquée aux matériaux qualitatifs. Le protocole prévoit une information claire des participants, la minimisation des données collectées et une analyse explicite des biais susceptibles d’affecter les résultats.</w:t>
      </w:r>
    </w:p>
    <w:p>
      <w:pPr>
        <w:spacing w:after="120" w:line="276"/>
        <w:jc w:val="both"/>
      </w:pPr>
      <w:r>
        <w:rPr>
          <w:rFonts w:ascii="Times New Roman" w:cs="Times New Roman" w:eastAsia="Times New Roman" w:hAnsi="Times New Roman"/>
          <w:sz w:val="22"/>
          <w:szCs w:val="22"/>
        </w:rPr>
        <w:t xml:space="preserve">Les résultats illustratifs suggèrent que la valeur pédagogique perçue dépend moins de la sophistication technique que de l’alignement avec les objectifs d’apprentissage, de la compétence critique des utilisateurs et de l’accompagnement institutionnel. Ils montrent également que l’accès à la connectivité, la disponibilité de ressources en langues locales et la capacité à vérifier les productions générées constituent des conditions déterminantes. L’étude met enfin en évidence la nécessité de dispositifs de gouvernance associant chercheurs, enseignants, décideurs, ingénieurs pédagogiques et société civile. Ces constats conduisent à proposer une démarche progressive fondée sur le diagnostic des besoins, la co-conception, l’expérimentation encadrée et l’évaluation des effets. Le texte présenté ici sert uniquement d’exemple de structuration et doit être remplacé par le résumé de l’article soumis.</w:t>
      </w:r>
    </w:p>
    <w:p>
      <w:pPr>
        <w:spacing w:after="120" w:line="276"/>
        <w:jc w:val="both"/>
      </w:pPr>
      <w:r>
        <w:rPr>
          <w:rFonts w:ascii="Times New Roman" w:cs="Times New Roman" w:eastAsia="Times New Roman" w:hAnsi="Times New Roman"/>
          <w:b/>
          <w:bCs/>
          <w:sz w:val="22"/>
          <w:szCs w:val="22"/>
        </w:rPr>
        <w:t xml:space="preserve">Mots-clés : </w:t>
      </w:r>
      <w:r>
        <w:rPr>
          <w:rFonts w:ascii="Times New Roman" w:cs="Times New Roman" w:eastAsia="Times New Roman" w:hAnsi="Times New Roman"/>
          <w:sz w:val="22"/>
          <w:szCs w:val="22"/>
        </w:rPr>
        <w:t xml:space="preserve">intelligence artificielle ; éducation ; inclusion numérique ; éthique</w:t>
      </w:r>
    </w:p>
    <w:p>
      <w:pPr>
        <w:spacing w:after="120" w:line="276"/>
        <w:jc w:val="both"/>
      </w:pPr>
      <w:r>
        <w:rPr>
          <w:rFonts w:ascii="Times New Roman" w:cs="Times New Roman" w:eastAsia="Times New Roman" w:hAnsi="Times New Roman"/>
          <w:b/>
          <w:bCs/>
          <w:sz w:val="20"/>
          <w:szCs w:val="20"/>
        </w:rPr>
        <w:t xml:space="preserve">Consigne : </w:t>
      </w:r>
      <w:r>
        <w:rPr>
          <w:rFonts w:ascii="Times New Roman" w:cs="Times New Roman" w:eastAsia="Times New Roman" w:hAnsi="Times New Roman"/>
          <w:i/>
          <w:iCs/>
          <w:sz w:val="20"/>
          <w:szCs w:val="20"/>
        </w:rPr>
        <w:t xml:space="preserve">le résumé doit comporter de 300 à 500 mots, présenter le contexte, la problématique ou les objectifs, la méthodologie et les principaux résultats. Indiquer 3 à 4 mots-clés.</w:t>
      </w:r>
    </w:p>
    <w:p>
      <w:r>
        <w:br w:type="page"/>
      </w:r>
    </w:p>
    <w:p>
      <w:pPr>
        <w:pStyle w:val="Heading1"/>
        <w:keepNext/>
        <w:spacing w:after="120" w:before="240"/>
      </w:pPr>
      <w:r>
        <w:rPr>
          <w:rFonts w:ascii="Times New Roman" w:cs="Times New Roman" w:eastAsia="Times New Roman" w:hAnsi="Times New Roman"/>
          <w:b/>
          <w:bCs/>
          <w:sz w:val="26"/>
          <w:szCs w:val="26"/>
        </w:rPr>
        <w:t xml:space="preserve">1 Introduction et contexte</w:t>
      </w:r>
    </w:p>
    <w:p>
      <w:pPr>
        <w:spacing w:after="120" w:line="276"/>
        <w:ind w:firstLine="397"/>
        <w:jc w:val="both"/>
      </w:pPr>
      <w:r>
        <w:rPr>
          <w:rFonts w:ascii="Times New Roman" w:cs="Times New Roman" w:eastAsia="Times New Roman" w:hAnsi="Times New Roman"/>
          <w:sz w:val="22"/>
          <w:szCs w:val="22"/>
        </w:rPr>
        <w:t xml:space="preserve">Cette section situe l’étude dans l’un des axes du colloque : pilotage des systèmes éducatifs ; ingénierie de formation, pédagogie et pratiques enseignantes ; évaluation des apprentissages et didactique des disciplines ; ou éthique, inclusion, genre et justice sociale. Elle expose le contexte scientifique et institutionnel, puis justifie l’intérêt du travail pour les publics concernés.</w:t>
      </w:r>
    </w:p>
    <w:p>
      <w:pPr>
        <w:spacing w:after="120" w:line="276"/>
        <w:ind w:firstLine="397"/>
        <w:jc w:val="both"/>
      </w:pPr>
      <w:r>
        <w:rPr>
          <w:rFonts w:ascii="Times New Roman" w:cs="Times New Roman" w:eastAsia="Times New Roman" w:hAnsi="Times New Roman"/>
          <w:sz w:val="22"/>
          <w:szCs w:val="22"/>
        </w:rPr>
        <w:t xml:space="preserve">L’essor des systèmes génératifs et des agents conversationnels ouvre de nouvelles possibilités pour la conception de contenus, l’accompagnement des apprentissages et l’analyse des données éducatives. Il soulève simultanément des risques de biais, de dépendance cognitive et d’exclusion. Une citation narrative place le nom de l’auteur dans la phrase : Zawacki-Richter et al. (2019) montrent que les travaux sur l’intelligence artificielle dans l’enseignement supérieur restent inégalement répartis entre domaines et catégories d’acteurs.</w:t>
      </w:r>
    </w:p>
    <w:p>
      <w:pPr>
        <w:spacing w:after="120" w:line="276"/>
        <w:ind w:firstLine="397"/>
        <w:jc w:val="both"/>
      </w:pPr>
      <w:r>
        <w:rPr>
          <w:rFonts w:ascii="Times New Roman" w:cs="Times New Roman" w:eastAsia="Times New Roman" w:hAnsi="Times New Roman"/>
          <w:sz w:val="22"/>
          <w:szCs w:val="22"/>
        </w:rPr>
        <w:t xml:space="preserve">Une citation parenthétique place l’auteur et l’année entre parenthèses : l’adoption d’un outil ne suffit pas à établir sa valeur pédagogique (Selwyn, 2019). Pour une citation textuelle courte, ajouter la page : « courte citation reproduite fidèlement » (Selwyn, 2019, p. 42). Une source comportant deux auteurs est citée sous la forme (Auteur &amp; Auteur, année) ; à partir de trois auteurs, utiliser et al. dès la première citation selon APA 7.</w:t>
      </w:r>
    </w:p>
    <w:p>
      <w:pPr>
        <w:pStyle w:val="Heading2"/>
        <w:keepNext/>
        <w:spacing w:after="100" w:before="180"/>
      </w:pPr>
      <w:r>
        <w:rPr>
          <w:rFonts w:ascii="Times New Roman" w:cs="Times New Roman" w:eastAsia="Times New Roman" w:hAnsi="Times New Roman"/>
          <w:b/>
          <w:bCs/>
          <w:sz w:val="22"/>
          <w:szCs w:val="22"/>
        </w:rPr>
        <w:t xml:space="preserve">1.1 Problématique et objectifs</w:t>
      </w:r>
    </w:p>
    <w:p>
      <w:pPr>
        <w:spacing w:after="120" w:line="276"/>
        <w:ind w:firstLine="397"/>
        <w:jc w:val="both"/>
      </w:pPr>
      <w:r>
        <w:rPr>
          <w:rFonts w:ascii="Times New Roman" w:cs="Times New Roman" w:eastAsia="Times New Roman" w:hAnsi="Times New Roman"/>
          <w:sz w:val="22"/>
          <w:szCs w:val="22"/>
        </w:rPr>
        <w:t xml:space="preserve">Formuler ici une question de recherche précise et démontrer en quoi elle répond à une lacune de la littérature ou à un besoin de terrain. Exemple : dans quelles conditions l’intelligence artificielle peut-elle soutenir l’innovation pédagogique sans accroître les inégalités d’accès ni affaiblir le jugement professionnel des enseignants ?</w:t>
      </w:r>
    </w:p>
    <w:p>
      <w:pPr>
        <w:spacing w:after="120" w:line="276"/>
        <w:ind w:firstLine="397"/>
        <w:jc w:val="both"/>
      </w:pPr>
      <w:r>
        <w:rPr>
          <w:rFonts w:ascii="Times New Roman" w:cs="Times New Roman" w:eastAsia="Times New Roman" w:hAnsi="Times New Roman"/>
          <w:sz w:val="22"/>
          <w:szCs w:val="22"/>
        </w:rPr>
        <w:t xml:space="preserve">Présenter ensuite l’objectif général, les objectifs spécifiques et, le cas échéant, les hypothèses. Les concepts centraux doivent être définis et reliés à des références scientifiques. Éviter les affirmations générales non documentées ainsi que les références absentes de la bibliographie.</w:t>
      </w:r>
    </w:p>
    <w:p>
      <w:pPr>
        <w:pStyle w:val="Heading2"/>
        <w:keepNext/>
        <w:spacing w:after="100" w:before="180"/>
      </w:pPr>
      <w:r>
        <w:rPr>
          <w:rFonts w:ascii="Times New Roman" w:cs="Times New Roman" w:eastAsia="Times New Roman" w:hAnsi="Times New Roman"/>
          <w:b/>
          <w:bCs/>
          <w:sz w:val="22"/>
          <w:szCs w:val="22"/>
        </w:rPr>
        <w:t xml:space="preserve">1.2 Organisation de l’article</w:t>
      </w:r>
    </w:p>
    <w:p>
      <w:pPr>
        <w:spacing w:after="120" w:line="276"/>
        <w:ind w:firstLine="397"/>
        <w:jc w:val="both"/>
      </w:pPr>
      <w:r>
        <w:rPr>
          <w:rFonts w:ascii="Times New Roman" w:cs="Times New Roman" w:eastAsia="Times New Roman" w:hAnsi="Times New Roman"/>
          <w:sz w:val="22"/>
          <w:szCs w:val="22"/>
        </w:rPr>
        <w:t xml:space="preserve">Annoncer brièvement la progression du texte. Le présent modèle propose une structure classique comprenant la revue de littérature, la méthodologie, les résultats, la discussion et la conclusion. Les auteurs peuvent l’adapter à la nature théorique, empirique ou réflexive de leur contribution.</w:t>
      </w:r>
    </w:p>
    <w:p>
      <w:r>
        <w:br w:type="page"/>
      </w:r>
    </w:p>
    <w:p>
      <w:pPr>
        <w:pStyle w:val="Heading1"/>
        <w:keepNext/>
        <w:spacing w:after="120" w:before="240"/>
      </w:pPr>
      <w:r>
        <w:rPr>
          <w:rFonts w:ascii="Times New Roman" w:cs="Times New Roman" w:eastAsia="Times New Roman" w:hAnsi="Times New Roman"/>
          <w:b/>
          <w:bCs/>
          <w:sz w:val="26"/>
          <w:szCs w:val="26"/>
        </w:rPr>
        <w:t xml:space="preserve">2 Cadre conceptuel et état de l’art</w:t>
      </w:r>
    </w:p>
    <w:p>
      <w:pPr>
        <w:spacing w:after="120" w:line="276"/>
        <w:ind w:firstLine="397"/>
        <w:jc w:val="both"/>
      </w:pPr>
      <w:r>
        <w:rPr>
          <w:rFonts w:ascii="Times New Roman" w:cs="Times New Roman" w:eastAsia="Times New Roman" w:hAnsi="Times New Roman"/>
          <w:sz w:val="22"/>
          <w:szCs w:val="22"/>
        </w:rPr>
        <w:t xml:space="preserve">Construire une synthèse critique plutôt qu’une succession de résumés. Comparer les approches, préciser leurs apports et leurs limites, puis dégager le positionnement de l’article. Une citation de plusieurs sources se présente dans le même jeu de parenthèses, par ordre alphabétique et séparée par des points-virgules : (Selwyn, 2019 ; Zawacki-Richter et al., 2019).</w:t>
      </w:r>
    </w:p>
    <w:p>
      <w:pPr>
        <w:spacing w:after="120" w:line="276"/>
        <w:ind w:firstLine="397"/>
        <w:jc w:val="both"/>
      </w:pPr>
      <w:r>
        <w:rPr>
          <w:rFonts w:ascii="Times New Roman" w:cs="Times New Roman" w:eastAsia="Times New Roman" w:hAnsi="Times New Roman"/>
          <w:sz w:val="22"/>
          <w:szCs w:val="22"/>
        </w:rPr>
        <w:t xml:space="preserve">Les sources doivent être pertinentes, vérifiables et suffisamment récentes pour le sujet traité. Les références fondamentales restent admises lorsqu’elles éclairent le cadre théorique ou méthodologique. Chaque référence citée dans le texte doit figurer dans la liste finale, et réciproquement.</w:t>
      </w:r>
    </w:p>
    <w:p>
      <w:pPr>
        <w:pStyle w:val="Heading1"/>
        <w:keepNext/>
        <w:spacing w:after="120" w:before="240"/>
      </w:pPr>
      <w:r>
        <w:rPr>
          <w:rFonts w:ascii="Times New Roman" w:cs="Times New Roman" w:eastAsia="Times New Roman" w:hAnsi="Times New Roman"/>
          <w:b/>
          <w:bCs/>
          <w:sz w:val="26"/>
          <w:szCs w:val="26"/>
        </w:rPr>
        <w:t xml:space="preserve">3 Méthodologie</w:t>
      </w:r>
    </w:p>
    <w:p>
      <w:pPr>
        <w:pStyle w:val="Heading2"/>
        <w:keepNext/>
        <w:spacing w:after="100" w:before="180"/>
      </w:pPr>
      <w:r>
        <w:rPr>
          <w:rFonts w:ascii="Times New Roman" w:cs="Times New Roman" w:eastAsia="Times New Roman" w:hAnsi="Times New Roman"/>
          <w:b/>
          <w:bCs/>
          <w:sz w:val="22"/>
          <w:szCs w:val="22"/>
        </w:rPr>
        <w:t xml:space="preserve">3.1 Terrain participants et données</w:t>
      </w:r>
    </w:p>
    <w:p>
      <w:pPr>
        <w:spacing w:after="120" w:line="276"/>
        <w:ind w:firstLine="397"/>
        <w:jc w:val="both"/>
      </w:pPr>
      <w:r>
        <w:rPr>
          <w:rFonts w:ascii="Times New Roman" w:cs="Times New Roman" w:eastAsia="Times New Roman" w:hAnsi="Times New Roman"/>
          <w:sz w:val="22"/>
          <w:szCs w:val="22"/>
        </w:rPr>
        <w:t xml:space="preserve">Décrire le terrain, la population, les critères d’inclusion, la stratégie d’échantillonnage et les instruments de collecte. Pour une recherche menée à Madagascar ou dans un autre contexte francophone du Sud, expliciter les langues utilisées, les contraintes de connectivité et les conditions concrètes de participation.</w:t>
      </w:r>
    </w:p>
    <w:p>
      <w:pPr>
        <w:spacing w:after="120" w:line="276"/>
        <w:ind w:firstLine="397"/>
        <w:jc w:val="both"/>
      </w:pPr>
      <w:r>
        <w:rPr>
          <w:rFonts w:ascii="Times New Roman" w:cs="Times New Roman" w:eastAsia="Times New Roman" w:hAnsi="Times New Roman"/>
          <w:sz w:val="22"/>
          <w:szCs w:val="22"/>
        </w:rPr>
        <w:t xml:space="preserve">Indiquer la période de collecte et les effectifs sans révéler d’information susceptible d’identifier les auteurs pendant l’évaluation. Lorsque le nom d’une institution est indispensable à la compréhension, employer une désignation neutre telle que [Université A] ou [Établissement partenaire].</w:t>
      </w:r>
    </w:p>
    <w:p>
      <w:pPr>
        <w:pStyle w:val="Heading2"/>
        <w:keepNext/>
        <w:spacing w:after="100" w:before="180"/>
      </w:pPr>
      <w:r>
        <w:rPr>
          <w:rFonts w:ascii="Times New Roman" w:cs="Times New Roman" w:eastAsia="Times New Roman" w:hAnsi="Times New Roman"/>
          <w:b/>
          <w:bCs/>
          <w:sz w:val="22"/>
          <w:szCs w:val="22"/>
        </w:rPr>
        <w:t xml:space="preserve">3.2 Procédure et analyse</w:t>
      </w:r>
    </w:p>
    <w:p>
      <w:pPr>
        <w:spacing w:after="120" w:line="276"/>
        <w:ind w:firstLine="397"/>
        <w:jc w:val="both"/>
      </w:pPr>
      <w:r>
        <w:rPr>
          <w:rFonts w:ascii="Times New Roman" w:cs="Times New Roman" w:eastAsia="Times New Roman" w:hAnsi="Times New Roman"/>
          <w:sz w:val="22"/>
          <w:szCs w:val="22"/>
        </w:rPr>
        <w:t xml:space="preserve">Présenter les étapes de collecte, les méthodes d’analyse, les logiciels mobilisés et les critères de qualité. Pour les études quantitatives, préciser les variables, les tests et les seuils retenus. Pour les études qualitatives, décrire le codage, la construction des thèmes et les mesures de fiabilité ou de réflexivité.</w:t>
      </w:r>
    </w:p>
    <w:p>
      <w:pPr>
        <w:pStyle w:val="Heading2"/>
        <w:keepNext/>
        <w:spacing w:after="100" w:before="180"/>
      </w:pPr>
      <w:r>
        <w:rPr>
          <w:rFonts w:ascii="Times New Roman" w:cs="Times New Roman" w:eastAsia="Times New Roman" w:hAnsi="Times New Roman"/>
          <w:b/>
          <w:bCs/>
          <w:sz w:val="22"/>
          <w:szCs w:val="22"/>
        </w:rPr>
        <w:t xml:space="preserve">3.3 Considérations éthiques</w:t>
      </w:r>
    </w:p>
    <w:p>
      <w:pPr>
        <w:spacing w:after="120" w:line="276"/>
        <w:ind w:firstLine="397"/>
        <w:jc w:val="both"/>
      </w:pPr>
      <w:r>
        <w:rPr>
          <w:rFonts w:ascii="Times New Roman" w:cs="Times New Roman" w:eastAsia="Times New Roman" w:hAnsi="Times New Roman"/>
          <w:sz w:val="22"/>
          <w:szCs w:val="22"/>
        </w:rPr>
        <w:t xml:space="preserve">Préciser les modalités de consentement, de confidentialité, de conservation et de minimisation des données. Mentionner l’avis d’un comité d’éthique lorsque cela s’applique. Décrire également les usages éventuels d’outils d’intelligence artificielle dans la recherche et la manière dont leurs productions ont été vérifiées.</w:t>
      </w:r>
    </w:p>
    <w:p>
      <w:r>
        <w:br w:type="page"/>
      </w:r>
    </w:p>
    <w:p>
      <w:pPr>
        <w:pStyle w:val="Heading1"/>
        <w:keepNext/>
        <w:spacing w:after="120" w:before="240"/>
      </w:pPr>
      <w:r>
        <w:rPr>
          <w:rFonts w:ascii="Times New Roman" w:cs="Times New Roman" w:eastAsia="Times New Roman" w:hAnsi="Times New Roman"/>
          <w:b/>
          <w:bCs/>
          <w:sz w:val="26"/>
          <w:szCs w:val="26"/>
        </w:rPr>
        <w:t xml:space="preserve">4 Résultats</w:t>
      </w:r>
    </w:p>
    <w:p>
      <w:pPr>
        <w:spacing w:after="120" w:line="276"/>
        <w:ind w:firstLine="397"/>
        <w:jc w:val="both"/>
      </w:pPr>
      <w:r>
        <w:rPr>
          <w:rFonts w:ascii="Times New Roman" w:cs="Times New Roman" w:eastAsia="Times New Roman" w:hAnsi="Times New Roman"/>
          <w:sz w:val="22"/>
          <w:szCs w:val="22"/>
        </w:rPr>
        <w:t xml:space="preserve">Présenter les résultats dans l’ordre des questions de recherche. Les tableaux et figures doivent compléter le texte sans le répéter. Ils sont numérotés selon leur ordre d’apparition et doivent tous être appelés dans le corps du texte. Le tableau 1 illustre une présentation synthétique des dimensions étudiées.</w:t>
      </w:r>
    </w:p>
    <w:p>
      <w:pPr>
        <w:keepNext/>
        <w:spacing w:after="20" w:before="120"/>
      </w:pPr>
      <w:r>
        <w:rPr>
          <w:rFonts w:ascii="Times New Roman" w:cs="Times New Roman" w:eastAsia="Times New Roman" w:hAnsi="Times New Roman"/>
          <w:b/>
          <w:bCs/>
          <w:sz w:val="22"/>
          <w:szCs w:val="22"/>
        </w:rPr>
        <w:t xml:space="preserve">Tableau 1</w:t>
      </w:r>
    </w:p>
    <w:p>
      <w:pPr>
        <w:keepNext/>
        <w:spacing w:after="80"/>
      </w:pPr>
      <w:r>
        <w:rPr>
          <w:rFonts w:ascii="Times New Roman" w:cs="Times New Roman" w:eastAsia="Times New Roman" w:hAnsi="Times New Roman"/>
          <w:i/>
          <w:iCs/>
          <w:sz w:val="22"/>
          <w:szCs w:val="22"/>
        </w:rPr>
        <w:t xml:space="preserve">Exemple de synthèse des dimensions d’analyse et des indicateurs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000"/>
        <w:gridCol w:w="3800"/>
        <w:gridCol w:w="3272"/>
      </w:tblGrid>
      <w:tr>
        <w:trPr>
          <w:tblHeader/>
        </w:trPr>
        <w:tc>
          <w:tcPr>
            <w:tcW w:type="dxa" w:w="2000"/>
            <w:tcBorders>
              <w:top w:val="single" w:color="999999" w:sz="4"/>
              <w:left w:val="single" w:color="999999" w:sz="4"/>
              <w:bottom w:val="single" w:color="999999" w:sz="4"/>
              <w:right w:val="single" w:color="999999" w:sz="4"/>
            </w:tcBorders>
            <w:shd w:fill="E6E6E6" w:color="auto" w:val="clear"/>
            <w:tcMar>
              <w:top w:type="dxa" w:w="60"/>
              <w:left w:type="dxa" w:w="100"/>
              <w:bottom w:type="dxa" w:w="60"/>
              <w:right w:type="dxa" w:w="100"/>
            </w:tcMar>
          </w:tcPr>
          <w:p>
            <w:r>
              <w:rPr>
                <w:rFonts w:ascii="Times New Roman" w:cs="Times New Roman" w:eastAsia="Times New Roman" w:hAnsi="Times New Roman"/>
                <w:b/>
                <w:bCs/>
                <w:sz w:val="20"/>
                <w:szCs w:val="20"/>
              </w:rPr>
              <w:t xml:space="preserve">Dimension</w:t>
            </w:r>
          </w:p>
        </w:tc>
        <w:tc>
          <w:tcPr>
            <w:tcW w:type="dxa" w:w="3800"/>
            <w:tcBorders>
              <w:top w:val="single" w:color="999999" w:sz="4"/>
              <w:left w:val="single" w:color="999999" w:sz="4"/>
              <w:bottom w:val="single" w:color="999999" w:sz="4"/>
              <w:right w:val="single" w:color="999999" w:sz="4"/>
            </w:tcBorders>
            <w:shd w:fill="E6E6E6" w:color="auto" w:val="clear"/>
            <w:tcMar>
              <w:top w:type="dxa" w:w="60"/>
              <w:left w:type="dxa" w:w="100"/>
              <w:bottom w:type="dxa" w:w="60"/>
              <w:right w:type="dxa" w:w="100"/>
            </w:tcMar>
          </w:tcPr>
          <w:p>
            <w:r>
              <w:rPr>
                <w:rFonts w:ascii="Times New Roman" w:cs="Times New Roman" w:eastAsia="Times New Roman" w:hAnsi="Times New Roman"/>
                <w:b/>
                <w:bCs/>
                <w:sz w:val="20"/>
                <w:szCs w:val="20"/>
              </w:rPr>
              <w:t xml:space="preserve">Indicateur illustratif</w:t>
            </w:r>
          </w:p>
        </w:tc>
        <w:tc>
          <w:tcPr>
            <w:tcW w:type="dxa" w:w="3272"/>
            <w:tcBorders>
              <w:top w:val="single" w:color="999999" w:sz="4"/>
              <w:left w:val="single" w:color="999999" w:sz="4"/>
              <w:bottom w:val="single" w:color="999999" w:sz="4"/>
              <w:right w:val="single" w:color="999999" w:sz="4"/>
            </w:tcBorders>
            <w:shd w:fill="E6E6E6" w:color="auto" w:val="clear"/>
            <w:tcMar>
              <w:top w:type="dxa" w:w="60"/>
              <w:left w:type="dxa" w:w="100"/>
              <w:bottom w:type="dxa" w:w="60"/>
              <w:right w:type="dxa" w:w="100"/>
            </w:tcMar>
          </w:tcPr>
          <w:p>
            <w:r>
              <w:rPr>
                <w:rFonts w:ascii="Times New Roman" w:cs="Times New Roman" w:eastAsia="Times New Roman" w:hAnsi="Times New Roman"/>
                <w:b/>
                <w:bCs/>
                <w:sz w:val="20"/>
                <w:szCs w:val="20"/>
              </w:rPr>
              <w:t xml:space="preserve">Source de données</w:t>
            </w:r>
          </w:p>
        </w:tc>
      </w:tr>
      <w:t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Accès</w:t>
            </w:r>
          </w:p>
        </w:tc>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Connectivité et disponibilité des équipements</w:t>
            </w:r>
          </w:p>
        </w:tc>
        <w:tc>
          <w:tcPr>
            <w:tcW w:type="dxa" w:w="327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Questionnaire</w:t>
            </w:r>
          </w:p>
        </w:tc>
      </w:tr>
      <w:t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Pratiques</w:t>
            </w:r>
          </w:p>
        </w:tc>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Usages pédagogiques et fréquence d’utilisation</w:t>
            </w:r>
          </w:p>
        </w:tc>
        <w:tc>
          <w:tcPr>
            <w:tcW w:type="dxa" w:w="327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Questionnaire et entretiens</w:t>
            </w:r>
          </w:p>
        </w:tc>
      </w:tr>
      <w:t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Compétences</w:t>
            </w:r>
          </w:p>
        </w:tc>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Capacité à formuler, vérifier et contextualiser</w:t>
            </w:r>
          </w:p>
        </w:tc>
        <w:tc>
          <w:tcPr>
            <w:tcW w:type="dxa" w:w="327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Mise en situation</w:t>
            </w:r>
          </w:p>
        </w:tc>
      </w:tr>
      <w:t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Gouvernance</w:t>
            </w:r>
          </w:p>
        </w:tc>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Protection des données et règles institutionnelles</w:t>
            </w:r>
          </w:p>
        </w:tc>
        <w:tc>
          <w:tcPr>
            <w:tcW w:type="dxa" w:w="327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Times New Roman" w:cs="Times New Roman" w:eastAsia="Times New Roman" w:hAnsi="Times New Roman"/>
                <w:sz w:val="20"/>
                <w:szCs w:val="20"/>
              </w:rPr>
              <w:t xml:space="preserve">Analyse documentaire</w:t>
            </w:r>
          </w:p>
        </w:tc>
      </w:tr>
    </w:tbl>
    <w:p>
      <w:pPr>
        <w:spacing w:after="160" w:before="80"/>
      </w:pPr>
      <w:r>
        <w:rPr>
          <w:rFonts w:ascii="Times New Roman" w:cs="Times New Roman" w:eastAsia="Times New Roman" w:hAnsi="Times New Roman"/>
          <w:i/>
          <w:iCs/>
          <w:sz w:val="19"/>
          <w:szCs w:val="19"/>
        </w:rPr>
        <w:t xml:space="preserve">Note. </w:t>
      </w:r>
      <w:r>
        <w:rPr>
          <w:rFonts w:ascii="Times New Roman" w:cs="Times New Roman" w:eastAsia="Times New Roman" w:hAnsi="Times New Roman"/>
          <w:sz w:val="19"/>
          <w:szCs w:val="19"/>
        </w:rPr>
        <w:t xml:space="preserve">Les données sont fictives et servent uniquement à illustrer la mise en forme. Indiquer la source sous le tableau lorsqu’il est adapté ou reproduit.</w:t>
      </w:r>
    </w:p>
    <w:p>
      <w:pPr>
        <w:pStyle w:val="Heading2"/>
        <w:keepNext/>
        <w:spacing w:after="100" w:before="180"/>
      </w:pPr>
      <w:r>
        <w:rPr>
          <w:rFonts w:ascii="Times New Roman" w:cs="Times New Roman" w:eastAsia="Times New Roman" w:hAnsi="Times New Roman"/>
          <w:b/>
          <w:bCs/>
          <w:sz w:val="22"/>
          <w:szCs w:val="22"/>
        </w:rPr>
        <w:t xml:space="preserve">4.1 Présentation des constats</w:t>
      </w:r>
    </w:p>
    <w:p>
      <w:pPr>
        <w:spacing w:after="120" w:line="276"/>
        <w:ind w:firstLine="397"/>
        <w:jc w:val="both"/>
      </w:pPr>
      <w:r>
        <w:rPr>
          <w:rFonts w:ascii="Times New Roman" w:cs="Times New Roman" w:eastAsia="Times New Roman" w:hAnsi="Times New Roman"/>
          <w:sz w:val="22"/>
          <w:szCs w:val="22"/>
        </w:rPr>
        <w:t xml:space="preserve">Décrire les tendances principales en fournissant les valeurs nécessaires à leur interprétation. Ne pas qualifier un résultat de significatif sans indiquer le test statistique correspondant. Pour les données qualitatives, présenter des thèmes étayés par des extraits courts et anonymisés.</w:t>
      </w:r>
    </w:p>
    <w:p>
      <w:pPr>
        <w:spacing w:after="120" w:line="276"/>
        <w:ind w:firstLine="397"/>
        <w:jc w:val="both"/>
      </w:pPr>
      <w:r>
        <w:rPr>
          <w:rFonts w:ascii="Times New Roman" w:cs="Times New Roman" w:eastAsia="Times New Roman" w:hAnsi="Times New Roman"/>
          <w:sz w:val="22"/>
          <w:szCs w:val="22"/>
        </w:rPr>
        <w:t xml:space="preserve">Lorsqu’un tableau est adapté d’une publication, la note précise « Adapté de… » avec la référence et, si nécessaire, les informations relatives au droit d’auteur. La légende du tableau reste toujours placée au-dessus.</w:t>
      </w:r>
    </w:p>
    <w:p>
      <w:r>
        <w:br w:type="page"/>
      </w:r>
    </w:p>
    <w:p>
      <w:pPr>
        <w:pStyle w:val="Heading2"/>
        <w:keepNext/>
        <w:spacing w:after="100" w:before="180"/>
      </w:pPr>
      <w:r>
        <w:rPr>
          <w:rFonts w:ascii="Times New Roman" w:cs="Times New Roman" w:eastAsia="Times New Roman" w:hAnsi="Times New Roman"/>
          <w:b/>
          <w:bCs/>
          <w:sz w:val="22"/>
          <w:szCs w:val="22"/>
        </w:rPr>
        <w:t xml:space="preserve">4.2 Exemple de figure</w:t>
      </w:r>
    </w:p>
    <w:p>
      <w:pPr>
        <w:spacing w:after="120" w:line="276"/>
        <w:ind w:firstLine="397"/>
        <w:jc w:val="both"/>
      </w:pPr>
      <w:r>
        <w:rPr>
          <w:rFonts w:ascii="Times New Roman" w:cs="Times New Roman" w:eastAsia="Times New Roman" w:hAnsi="Times New Roman"/>
          <w:sz w:val="22"/>
          <w:szCs w:val="22"/>
        </w:rPr>
        <w:t xml:space="preserve">La figure 1 représente un exemple de progression au cours d’une démarche de recherche et d’innovation pédagogique. Les valeurs sont fictives. Privilégier des figures lisibles en niveaux de gris, suffisamment définies pour l’impression et accompagnées d’unités explicites.</w:t>
      </w:r>
    </w:p>
    <w:p>
      <w:pPr>
        <w:spacing w:after="60" w:before="120"/>
        <w:jc w:val="center"/>
      </w:pPr>
      <w:r>
        <w:drawing>
          <wp:inline distT="0" distB="0" distL="0" distR="0">
            <wp:extent cx="4191000" cy="2095500"/>
            <wp:effectExtent t="0" r="0" b="0" l="0"/>
            <wp:docPr id="1" name="fig1" descr="Courbe de progression : Diagnostic, Conception, Expérimentation, Évaluation"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0" cy="2095500"/>
                    </a:xfrm>
                    <a:prstGeom prst="rect">
                      <a:avLst/>
                    </a:prstGeom>
                  </pic:spPr>
                </pic:pic>
              </a:graphicData>
            </a:graphic>
          </wp:inline>
        </w:drawing>
      </w:r>
    </w:p>
    <w:p>
      <w:pPr>
        <w:spacing w:after="200"/>
        <w:jc w:val="center"/>
      </w:pPr>
      <w:r>
        <w:rPr>
          <w:rFonts w:ascii="Times New Roman" w:cs="Times New Roman" w:eastAsia="Times New Roman" w:hAnsi="Times New Roman"/>
          <w:i/>
          <w:iCs/>
          <w:sz w:val="19"/>
          <w:szCs w:val="19"/>
        </w:rPr>
        <w:t xml:space="preserve">Figure 1. Exemple de progression d’un dispositif expérimental. Source : données fictives élaborées pour ce modèle.</w:t>
      </w:r>
    </w:p>
    <w:p>
      <w:pPr>
        <w:pStyle w:val="Heading1"/>
        <w:keepNext/>
        <w:spacing w:after="120" w:before="240"/>
      </w:pPr>
      <w:r>
        <w:rPr>
          <w:rFonts w:ascii="Times New Roman" w:cs="Times New Roman" w:eastAsia="Times New Roman" w:hAnsi="Times New Roman"/>
          <w:b/>
          <w:bCs/>
          <w:sz w:val="26"/>
          <w:szCs w:val="26"/>
        </w:rPr>
        <w:t xml:space="preserve">5 Discussion</w:t>
      </w:r>
    </w:p>
    <w:p>
      <w:pPr>
        <w:spacing w:after="120" w:line="276"/>
        <w:ind w:firstLine="397"/>
        <w:jc w:val="both"/>
      </w:pPr>
      <w:r>
        <w:rPr>
          <w:rFonts w:ascii="Times New Roman" w:cs="Times New Roman" w:eastAsia="Times New Roman" w:hAnsi="Times New Roman"/>
          <w:sz w:val="22"/>
          <w:szCs w:val="22"/>
        </w:rPr>
        <w:t xml:space="preserve">Interpréter les résultats en les confrontant au cadre conceptuel et aux travaux antérieurs. Expliquer les convergences, les divergences et les apports spécifiques du contexte étudié. La discussion doit répondre explicitement à la problématique et éviter de simplement répéter les résultats.</w:t>
      </w:r>
    </w:p>
    <w:p>
      <w:pPr>
        <w:spacing w:after="120" w:line="276"/>
        <w:ind w:firstLine="397"/>
        <w:jc w:val="both"/>
      </w:pPr>
      <w:r>
        <w:rPr>
          <w:rFonts w:ascii="Times New Roman" w:cs="Times New Roman" w:eastAsia="Times New Roman" w:hAnsi="Times New Roman"/>
          <w:sz w:val="22"/>
          <w:szCs w:val="22"/>
        </w:rPr>
        <w:t xml:space="preserve">Dans l’exemple retenu, une progression entre le diagnostic, la conception, l’expérimentation et l’évaluation pourrait traduire un renforcement graduel de la maturité du dispositif. Cette interprétation devrait néanmoins être confrontée à des indicateurs d’apprentissage, d’inclusion et de soutenabilité plutôt qu’à une mesure unique de satisfaction.</w:t>
      </w:r>
    </w:p>
    <w:p>
      <w:pPr>
        <w:pStyle w:val="Heading2"/>
        <w:keepNext/>
        <w:spacing w:after="100" w:before="180"/>
      </w:pPr>
      <w:r>
        <w:rPr>
          <w:rFonts w:ascii="Times New Roman" w:cs="Times New Roman" w:eastAsia="Times New Roman" w:hAnsi="Times New Roman"/>
          <w:b/>
          <w:bCs/>
          <w:sz w:val="22"/>
          <w:szCs w:val="22"/>
        </w:rPr>
        <w:t xml:space="preserve">5.1 Limites et transférabilité</w:t>
      </w:r>
    </w:p>
    <w:p>
      <w:pPr>
        <w:spacing w:after="120" w:line="276"/>
        <w:ind w:firstLine="397"/>
        <w:jc w:val="both"/>
      </w:pPr>
      <w:r>
        <w:rPr>
          <w:rFonts w:ascii="Times New Roman" w:cs="Times New Roman" w:eastAsia="Times New Roman" w:hAnsi="Times New Roman"/>
          <w:sz w:val="22"/>
          <w:szCs w:val="22"/>
        </w:rPr>
        <w:t xml:space="preserve">Présenter honnêtement les limites liées à l’échantillon, aux instruments, à la durée de l’étude et aux biais possibles. Discuter la transférabilité des résultats à d’autres établissements, disciplines ou territoires, sans généralisation excessive.</w:t>
      </w:r>
    </w:p>
    <w:p>
      <w:r>
        <w:br w:type="page"/>
      </w:r>
    </w:p>
    <w:p>
      <w:pPr>
        <w:pStyle w:val="Heading1"/>
        <w:keepNext/>
        <w:spacing w:after="120" w:before="240"/>
      </w:pPr>
      <w:r>
        <w:rPr>
          <w:rFonts w:ascii="Times New Roman" w:cs="Times New Roman" w:eastAsia="Times New Roman" w:hAnsi="Times New Roman"/>
          <w:b/>
          <w:bCs/>
          <w:sz w:val="26"/>
          <w:szCs w:val="26"/>
        </w:rPr>
        <w:t xml:space="preserve">6 Conclusion</w:t>
      </w:r>
    </w:p>
    <w:p>
      <w:pPr>
        <w:spacing w:after="120" w:line="276"/>
        <w:ind w:firstLine="397"/>
        <w:jc w:val="both"/>
      </w:pPr>
      <w:r>
        <w:rPr>
          <w:rFonts w:ascii="Times New Roman" w:cs="Times New Roman" w:eastAsia="Times New Roman" w:hAnsi="Times New Roman"/>
          <w:sz w:val="22"/>
          <w:szCs w:val="22"/>
        </w:rPr>
        <w:t xml:space="preserve">La conclusion rappelle la question étudiée, synthétise les principaux résultats et formule leurs implications scientifiques, pédagogiques ou institutionnelles. Elle ne doit pas introduire de données nouvelles. Terminer par des perspectives directement reliées aux limites et aux résultats.</w:t>
      </w:r>
    </w:p>
    <w:p>
      <w:pPr>
        <w:spacing w:after="120" w:line="276"/>
        <w:ind w:firstLine="397"/>
        <w:jc w:val="both"/>
      </w:pPr>
      <w:r>
        <w:rPr>
          <w:rFonts w:ascii="Times New Roman" w:cs="Times New Roman" w:eastAsia="Times New Roman" w:hAnsi="Times New Roman"/>
          <w:sz w:val="22"/>
          <w:szCs w:val="22"/>
        </w:rPr>
        <w:t xml:space="preserve">Dans le cadre du Colloque Connecter-IA, les contributions sont invitées à éclairer les usages de l’intelligence artificielle de manière critique, contextualisée et pluridisciplinaire. Les recommandations doivent être proportionnées aux données recueillies et distinguer clairement les constats, les interprétations et les propositions.</w:t>
      </w:r>
    </w:p>
    <w:p>
      <w:pPr>
        <w:pStyle w:val="Heading1"/>
        <w:keepNext/>
        <w:spacing w:after="120" w:before="240"/>
      </w:pPr>
      <w:r>
        <w:rPr>
          <w:rFonts w:ascii="Times New Roman" w:cs="Times New Roman" w:eastAsia="Times New Roman" w:hAnsi="Times New Roman"/>
          <w:b/>
          <w:bCs/>
          <w:sz w:val="26"/>
          <w:szCs w:val="26"/>
        </w:rPr>
        <w:t xml:space="preserve">Déclarations</w:t>
      </w:r>
    </w:p>
    <w:p>
      <w:pPr>
        <w:spacing w:after="120" w:line="276"/>
        <w:jc w:val="both"/>
      </w:pPr>
      <w:r>
        <w:rPr>
          <w:rFonts w:ascii="Times New Roman" w:cs="Times New Roman" w:eastAsia="Times New Roman" w:hAnsi="Times New Roman"/>
          <w:b/>
          <w:bCs/>
          <w:sz w:val="22"/>
          <w:szCs w:val="22"/>
        </w:rPr>
        <w:t xml:space="preserve">Financement. </w:t>
      </w:r>
      <w:r>
        <w:rPr>
          <w:rFonts w:ascii="Times New Roman" w:cs="Times New Roman" w:eastAsia="Times New Roman" w:hAnsi="Times New Roman"/>
          <w:sz w:val="22"/>
          <w:szCs w:val="22"/>
        </w:rPr>
        <w:t xml:space="preserve">[Indiquer la source et le numéro de financement, ou préciser : Cette recherche n’a bénéficié d’aucun financement spécifique.]</w:t>
      </w:r>
    </w:p>
    <w:p>
      <w:pPr>
        <w:spacing w:after="120" w:line="276"/>
        <w:jc w:val="both"/>
      </w:pPr>
      <w:r>
        <w:rPr>
          <w:rFonts w:ascii="Times New Roman" w:cs="Times New Roman" w:eastAsia="Times New Roman" w:hAnsi="Times New Roman"/>
          <w:b/>
          <w:bCs/>
          <w:sz w:val="22"/>
          <w:szCs w:val="22"/>
        </w:rPr>
        <w:t xml:space="preserve">Conflits d’intérêts. </w:t>
      </w:r>
      <w:r>
        <w:rPr>
          <w:rFonts w:ascii="Times New Roman" w:cs="Times New Roman" w:eastAsia="Times New Roman" w:hAnsi="Times New Roman"/>
          <w:sz w:val="22"/>
          <w:szCs w:val="22"/>
        </w:rPr>
        <w:t xml:space="preserve">[Déclarer tout conflit pertinent, ou préciser : Les auteurs déclarent ne présenter aucun conflit d’intérêts.]</w:t>
      </w:r>
    </w:p>
    <w:p>
      <w:pPr>
        <w:spacing w:after="120" w:line="276"/>
        <w:jc w:val="both"/>
      </w:pPr>
      <w:r>
        <w:rPr>
          <w:rFonts w:ascii="Times New Roman" w:cs="Times New Roman" w:eastAsia="Times New Roman" w:hAnsi="Times New Roman"/>
          <w:b/>
          <w:bCs/>
          <w:sz w:val="22"/>
          <w:szCs w:val="22"/>
        </w:rPr>
        <w:t xml:space="preserve">Disponibilité des données. </w:t>
      </w:r>
      <w:r>
        <w:rPr>
          <w:rFonts w:ascii="Times New Roman" w:cs="Times New Roman" w:eastAsia="Times New Roman" w:hAnsi="Times New Roman"/>
          <w:sz w:val="22"/>
          <w:szCs w:val="22"/>
        </w:rPr>
        <w:t xml:space="preserve">[Préciser les conditions d’accès aux données et au matériel, dans le respect du consentement et de la confidentialité.]</w:t>
      </w:r>
    </w:p>
    <w:p>
      <w:pPr>
        <w:spacing w:after="120" w:line="276"/>
        <w:jc w:val="both"/>
      </w:pPr>
      <w:r>
        <w:rPr>
          <w:rFonts w:ascii="Times New Roman" w:cs="Times New Roman" w:eastAsia="Times New Roman" w:hAnsi="Times New Roman"/>
          <w:b/>
          <w:bCs/>
          <w:sz w:val="22"/>
          <w:szCs w:val="22"/>
        </w:rPr>
        <w:t xml:space="preserve">Contributions des auteurs. </w:t>
      </w:r>
      <w:r>
        <w:rPr>
          <w:rFonts w:ascii="Times New Roman" w:cs="Times New Roman" w:eastAsia="Times New Roman" w:hAnsi="Times New Roman"/>
          <w:sz w:val="22"/>
          <w:szCs w:val="22"/>
        </w:rPr>
        <w:t xml:space="preserve">[Décrire les contributions selon une taxonomie reconnue, sans identifier les auteurs dans la version anonyme.]</w:t>
      </w:r>
    </w:p>
    <w:p>
      <w:pPr>
        <w:spacing w:after="120" w:line="276"/>
        <w:jc w:val="both"/>
      </w:pPr>
      <w:r>
        <w:rPr>
          <w:rFonts w:ascii="Times New Roman" w:cs="Times New Roman" w:eastAsia="Times New Roman" w:hAnsi="Times New Roman"/>
          <w:b/>
          <w:bCs/>
          <w:sz w:val="22"/>
          <w:szCs w:val="22"/>
        </w:rPr>
        <w:t xml:space="preserve">Remerciements. </w:t>
      </w:r>
      <w:r>
        <w:rPr>
          <w:rFonts w:ascii="Times New Roman" w:cs="Times New Roman" w:eastAsia="Times New Roman" w:hAnsi="Times New Roman"/>
          <w:sz w:val="22"/>
          <w:szCs w:val="22"/>
        </w:rPr>
        <w:t xml:space="preserve">[À retirer intégralement de la version soumise en double aveugle ; à réintroduire uniquement dans la version finale acceptée.]</w:t>
      </w:r>
    </w:p>
    <w:p>
      <w:pPr>
        <w:pStyle w:val="Heading1"/>
        <w:keepNext/>
        <w:spacing w:after="120" w:before="240"/>
      </w:pPr>
      <w:r>
        <w:rPr>
          <w:rFonts w:ascii="Times New Roman" w:cs="Times New Roman" w:eastAsia="Times New Roman" w:hAnsi="Times New Roman"/>
          <w:b/>
          <w:bCs/>
          <w:sz w:val="26"/>
          <w:szCs w:val="26"/>
        </w:rPr>
        <w:t xml:space="preserve">Contrôle avant soumission</w:t>
      </w:r>
    </w:p>
    <w:p>
      <w:pPr>
        <w:tabs>
          <w:tab w:val="left" w:pos="397"/>
        </w:tabs>
        <w:spacing w:after="60"/>
        <w:ind w:left="397" w:hanging="397"/>
      </w:pPr>
      <w:r>
        <w:rPr>
          <w:rFonts w:ascii="Times New Roman" w:cs="Times New Roman" w:eastAsia="Times New Roman" w:hAnsi="Times New Roman"/>
          <w:sz w:val="22"/>
          <w:szCs w:val="22"/>
        </w:rPr>
        <w:t xml:space="preserve">☐	Format A4, une seule colonne, Times New Roman et styles du modèle conservés.</w:t>
      </w:r>
    </w:p>
    <w:p>
      <w:pPr>
        <w:tabs>
          <w:tab w:val="left" w:pos="397"/>
        </w:tabs>
        <w:spacing w:after="60"/>
        <w:ind w:left="397" w:hanging="397"/>
      </w:pPr>
      <w:r>
        <w:rPr>
          <w:rFonts w:ascii="Times New Roman" w:cs="Times New Roman" w:eastAsia="Times New Roman" w:hAnsi="Times New Roman"/>
          <w:sz w:val="22"/>
          <w:szCs w:val="22"/>
        </w:rPr>
        <w:t xml:space="preserve">☐	Article complet limité à 6–8 pages, références, tableaux et figures compris.</w:t>
      </w:r>
    </w:p>
    <w:p>
      <w:pPr>
        <w:tabs>
          <w:tab w:val="left" w:pos="397"/>
        </w:tabs>
        <w:spacing w:after="60"/>
        <w:ind w:left="397" w:hanging="397"/>
      </w:pPr>
      <w:r>
        <w:rPr>
          <w:rFonts w:ascii="Times New Roman" w:cs="Times New Roman" w:eastAsia="Times New Roman" w:hAnsi="Times New Roman"/>
          <w:sz w:val="22"/>
          <w:szCs w:val="22"/>
        </w:rPr>
        <w:t xml:space="preserve">☐	Résumé de 300–500 mots et 3–4 mots-clés.</w:t>
      </w:r>
    </w:p>
    <w:p>
      <w:pPr>
        <w:tabs>
          <w:tab w:val="left" w:pos="397"/>
        </w:tabs>
        <w:spacing w:after="60"/>
        <w:ind w:left="397" w:hanging="397"/>
      </w:pPr>
      <w:r>
        <w:rPr>
          <w:rFonts w:ascii="Times New Roman" w:cs="Times New Roman" w:eastAsia="Times New Roman" w:hAnsi="Times New Roman"/>
          <w:sz w:val="22"/>
          <w:szCs w:val="22"/>
        </w:rPr>
        <w:t xml:space="preserve">☐	Noms, affiliations, métadonnées, remerciements et indices d’identité supprimés.</w:t>
      </w:r>
    </w:p>
    <w:p>
      <w:pPr>
        <w:tabs>
          <w:tab w:val="left" w:pos="397"/>
        </w:tabs>
        <w:spacing w:after="60"/>
        <w:ind w:left="397" w:hanging="397"/>
      </w:pPr>
      <w:r>
        <w:rPr>
          <w:rFonts w:ascii="Times New Roman" w:cs="Times New Roman" w:eastAsia="Times New Roman" w:hAnsi="Times New Roman"/>
          <w:sz w:val="22"/>
          <w:szCs w:val="22"/>
        </w:rPr>
        <w:t xml:space="preserve">☐	Citations et références conformes à APA 7 ; DOI présenté sous forme d’URL https://doi.org/…</w:t>
      </w:r>
    </w:p>
    <w:p>
      <w:pPr>
        <w:tabs>
          <w:tab w:val="left" w:pos="397"/>
        </w:tabs>
        <w:spacing w:after="60"/>
        <w:ind w:left="397" w:hanging="397"/>
      </w:pPr>
      <w:r>
        <w:rPr>
          <w:rFonts w:ascii="Times New Roman" w:cs="Times New Roman" w:eastAsia="Times New Roman" w:hAnsi="Times New Roman"/>
          <w:sz w:val="22"/>
          <w:szCs w:val="22"/>
        </w:rPr>
        <w:t xml:space="preserve">☐	Chaque tableau et figure est numéroté, cité dans le texte et accompagné de sa source.</w:t>
      </w:r>
    </w:p>
    <w:p>
      <w:r>
        <w:br w:type="page"/>
      </w:r>
    </w:p>
    <w:p>
      <w:pPr>
        <w:pStyle w:val="Heading1"/>
        <w:keepNext/>
        <w:spacing w:after="120" w:before="240"/>
      </w:pPr>
      <w:r>
        <w:rPr>
          <w:rFonts w:ascii="Times New Roman" w:cs="Times New Roman" w:eastAsia="Times New Roman" w:hAnsi="Times New Roman"/>
          <w:b/>
          <w:bCs/>
          <w:sz w:val="26"/>
          <w:szCs w:val="26"/>
        </w:rPr>
        <w:t xml:space="preserve">Références bibliographiques</w:t>
      </w:r>
    </w:p>
    <w:p>
      <w:pPr>
        <w:spacing w:after="120" w:line="276"/>
        <w:jc w:val="both"/>
      </w:pPr>
      <w:r>
        <w:rPr>
          <w:rFonts w:ascii="Times New Roman" w:cs="Times New Roman" w:eastAsia="Times New Roman" w:hAnsi="Times New Roman"/>
          <w:sz w:val="22"/>
          <w:szCs w:val="22"/>
        </w:rPr>
        <w:t xml:space="preserve">Classer les références par ordre alphabétique, avec un retrait suspendu de 0,7 cm. Conserver uniquement les sources citées. Selon APA 7, présenter le DOI sous forme d’URL. Les pages web et communications orales non publiées n’ont généralement pas de DOI ; ne pas en inventer.</w:t>
      </w:r>
    </w:p>
    <w:p>
      <w:pPr>
        <w:keepNext/>
        <w:spacing w:after="60" w:before="160"/>
      </w:pPr>
      <w:r>
        <w:rPr>
          <w:rFonts w:ascii="Times New Roman" w:cs="Times New Roman" w:eastAsia="Times New Roman" w:hAnsi="Times New Roman"/>
          <w:b/>
          <w:bCs/>
          <w:sz w:val="22"/>
          <w:szCs w:val="22"/>
        </w:rPr>
        <w:t xml:space="preserve">Article de revue</w:t>
      </w:r>
    </w:p>
    <w:p>
      <w:pPr>
        <w:spacing w:after="100"/>
        <w:ind w:left="397" w:hanging="397"/>
      </w:pPr>
      <w:r>
        <w:rPr>
          <w:rFonts w:ascii="Times New Roman" w:cs="Times New Roman" w:eastAsia="Times New Roman" w:hAnsi="Times New Roman"/>
          <w:sz w:val="22"/>
          <w:szCs w:val="22"/>
        </w:rPr>
        <w:t xml:space="preserve">Zawacki-Richter, O., Marín, V. I., Bond, M., &amp; Gouverneur, F. (2019). Systematic review of research on artificial intelligence applications in higher education—Where are the educators? </w:t>
      </w:r>
      <w:r>
        <w:rPr>
          <w:rFonts w:ascii="Times New Roman" w:cs="Times New Roman" w:eastAsia="Times New Roman" w:hAnsi="Times New Roman"/>
          <w:i/>
          <w:iCs/>
          <w:sz w:val="22"/>
          <w:szCs w:val="22"/>
        </w:rPr>
        <w:t xml:space="preserve">International Journal of Educational Technology in Higher Education, 16</w:t>
      </w:r>
      <w:r>
        <w:rPr>
          <w:rFonts w:ascii="Times New Roman" w:cs="Times New Roman" w:eastAsia="Times New Roman" w:hAnsi="Times New Roman"/>
          <w:sz w:val="22"/>
          <w:szCs w:val="22"/>
        </w:rPr>
        <w:t xml:space="preserve">, Article 39. https://doi.org/10.1186/s41239-019-0171-0</w:t>
      </w:r>
    </w:p>
    <w:p>
      <w:pPr>
        <w:keepNext/>
        <w:spacing w:after="60" w:before="160"/>
      </w:pPr>
      <w:r>
        <w:rPr>
          <w:rFonts w:ascii="Times New Roman" w:cs="Times New Roman" w:eastAsia="Times New Roman" w:hAnsi="Times New Roman"/>
          <w:b/>
          <w:bCs/>
          <w:sz w:val="22"/>
          <w:szCs w:val="22"/>
        </w:rPr>
        <w:t xml:space="preserve">Ouvrage</w:t>
      </w:r>
    </w:p>
    <w:p>
      <w:pPr>
        <w:spacing w:after="100"/>
        <w:ind w:left="397" w:hanging="397"/>
      </w:pPr>
      <w:r>
        <w:rPr>
          <w:rFonts w:ascii="Times New Roman" w:cs="Times New Roman" w:eastAsia="Times New Roman" w:hAnsi="Times New Roman"/>
          <w:sz w:val="22"/>
          <w:szCs w:val="22"/>
        </w:rPr>
        <w:t xml:space="preserve">Selwyn, N. (2019). </w:t>
      </w:r>
      <w:r>
        <w:rPr>
          <w:rFonts w:ascii="Times New Roman" w:cs="Times New Roman" w:eastAsia="Times New Roman" w:hAnsi="Times New Roman"/>
          <w:i/>
          <w:iCs/>
          <w:sz w:val="22"/>
          <w:szCs w:val="22"/>
        </w:rPr>
        <w:t xml:space="preserve">Should robots replace teachers? AI and the future of education</w:t>
      </w:r>
      <w:r>
        <w:rPr>
          <w:rFonts w:ascii="Times New Roman" w:cs="Times New Roman" w:eastAsia="Times New Roman" w:hAnsi="Times New Roman"/>
          <w:sz w:val="22"/>
          <w:szCs w:val="22"/>
        </w:rPr>
        <w:t xml:space="preserve">. Polity. https://doi.org/10.1002/9781509528967</w:t>
      </w:r>
    </w:p>
    <w:p>
      <w:pPr>
        <w:keepNext/>
        <w:spacing w:after="60" w:before="160"/>
      </w:pPr>
      <w:r>
        <w:rPr>
          <w:rFonts w:ascii="Times New Roman" w:cs="Times New Roman" w:eastAsia="Times New Roman" w:hAnsi="Times New Roman"/>
          <w:b/>
          <w:bCs/>
          <w:sz w:val="22"/>
          <w:szCs w:val="22"/>
        </w:rPr>
        <w:t xml:space="preserve">Chapitre d’ouvrage</w:t>
      </w:r>
    </w:p>
    <w:p>
      <w:pPr>
        <w:spacing w:after="100"/>
        <w:ind w:left="397" w:hanging="397"/>
      </w:pPr>
      <w:r>
        <w:rPr>
          <w:rFonts w:ascii="Times New Roman" w:cs="Times New Roman" w:eastAsia="Times New Roman" w:hAnsi="Times New Roman"/>
          <w:sz w:val="22"/>
          <w:szCs w:val="22"/>
        </w:rPr>
        <w:t xml:space="preserve">Baker, R. S. J. d., &amp; Inventado, P. S. (2014). Educational data mining and learning analytics. In J. A. Larusson &amp; B. White (Eds.), </w:t>
      </w:r>
      <w:r>
        <w:rPr>
          <w:rFonts w:ascii="Times New Roman" w:cs="Times New Roman" w:eastAsia="Times New Roman" w:hAnsi="Times New Roman"/>
          <w:i/>
          <w:iCs/>
          <w:sz w:val="22"/>
          <w:szCs w:val="22"/>
        </w:rPr>
        <w:t xml:space="preserve">Learning analytics: From research to practice</w:t>
      </w:r>
      <w:r>
        <w:rPr>
          <w:rFonts w:ascii="Times New Roman" w:cs="Times New Roman" w:eastAsia="Times New Roman" w:hAnsi="Times New Roman"/>
          <w:sz w:val="22"/>
          <w:szCs w:val="22"/>
        </w:rPr>
        <w:t xml:space="preserve"> (pp. 61–75). Springer. https://doi.org/10.1007/978-1-4614-3305-7_4</w:t>
      </w:r>
    </w:p>
    <w:p>
      <w:pPr>
        <w:keepNext/>
        <w:spacing w:after="60" w:before="160"/>
      </w:pPr>
      <w:r>
        <w:rPr>
          <w:rFonts w:ascii="Times New Roman" w:cs="Times New Roman" w:eastAsia="Times New Roman" w:hAnsi="Times New Roman"/>
          <w:b/>
          <w:bCs/>
          <w:sz w:val="22"/>
          <w:szCs w:val="22"/>
        </w:rPr>
        <w:t xml:space="preserve">Page web</w:t>
      </w:r>
    </w:p>
    <w:p>
      <w:pPr>
        <w:spacing w:after="100"/>
        <w:ind w:left="397" w:hanging="397"/>
      </w:pPr>
      <w:r>
        <w:rPr>
          <w:rFonts w:ascii="Times New Roman" w:cs="Times New Roman" w:eastAsia="Times New Roman" w:hAnsi="Times New Roman"/>
          <w:sz w:val="22"/>
          <w:szCs w:val="22"/>
        </w:rPr>
        <w:t xml:space="preserve">UNESCO. (2023, September 7). </w:t>
      </w:r>
      <w:r>
        <w:rPr>
          <w:rFonts w:ascii="Times New Roman" w:cs="Times New Roman" w:eastAsia="Times New Roman" w:hAnsi="Times New Roman"/>
          <w:i/>
          <w:iCs/>
          <w:sz w:val="22"/>
          <w:szCs w:val="22"/>
        </w:rPr>
        <w:t xml:space="preserve">Guidance for generative AI in education and research</w:t>
      </w:r>
      <w:r>
        <w:rPr>
          <w:rFonts w:ascii="Times New Roman" w:cs="Times New Roman" w:eastAsia="Times New Roman" w:hAnsi="Times New Roman"/>
          <w:sz w:val="22"/>
          <w:szCs w:val="22"/>
        </w:rPr>
        <w:t xml:space="preserve">. https://www.unesco.org/en/articles/guidance-generative-ai-education-and-research</w:t>
      </w:r>
    </w:p>
    <w:p>
      <w:pPr>
        <w:keepNext/>
        <w:spacing w:after="60" w:before="160"/>
      </w:pPr>
      <w:r>
        <w:rPr>
          <w:rFonts w:ascii="Times New Roman" w:cs="Times New Roman" w:eastAsia="Times New Roman" w:hAnsi="Times New Roman"/>
          <w:b/>
          <w:bCs/>
          <w:sz w:val="22"/>
          <w:szCs w:val="22"/>
        </w:rPr>
        <w:t xml:space="preserve">Communication publiée dans les actes d’une conférence internationale</w:t>
      </w:r>
    </w:p>
    <w:p>
      <w:pPr>
        <w:spacing w:after="100"/>
        <w:ind w:left="397" w:hanging="397"/>
      </w:pPr>
      <w:r>
        <w:rPr>
          <w:rFonts w:ascii="Times New Roman" w:cs="Times New Roman" w:eastAsia="Times New Roman" w:hAnsi="Times New Roman"/>
          <w:sz w:val="22"/>
          <w:szCs w:val="22"/>
        </w:rPr>
        <w:t xml:space="preserve">Bender, E. M., Gebru, T., McMillan-Major, A., &amp; Shmitchell, S. (2021). On the dangers of stochastic parrots: Can language models be too big? In </w:t>
      </w:r>
      <w:r>
        <w:rPr>
          <w:rFonts w:ascii="Times New Roman" w:cs="Times New Roman" w:eastAsia="Times New Roman" w:hAnsi="Times New Roman"/>
          <w:i/>
          <w:iCs/>
          <w:sz w:val="22"/>
          <w:szCs w:val="22"/>
        </w:rPr>
        <w:t xml:space="preserve">Proceedings of the 2021 ACM Conference on Fairness, Accountability, and Transparency</w:t>
      </w:r>
      <w:r>
        <w:rPr>
          <w:rFonts w:ascii="Times New Roman" w:cs="Times New Roman" w:eastAsia="Times New Roman" w:hAnsi="Times New Roman"/>
          <w:sz w:val="22"/>
          <w:szCs w:val="22"/>
        </w:rPr>
        <w:t xml:space="preserve"> (pp. 610–623). Association for Computing Machinery. https://doi.org/10.1145/3442188.3445922</w:t>
      </w:r>
    </w:p>
    <w:p>
      <w:pPr>
        <w:keepNext/>
        <w:spacing w:after="60" w:before="160"/>
      </w:pPr>
      <w:r>
        <w:rPr>
          <w:rFonts w:ascii="Times New Roman" w:cs="Times New Roman" w:eastAsia="Times New Roman" w:hAnsi="Times New Roman"/>
          <w:b/>
          <w:bCs/>
          <w:sz w:val="22"/>
          <w:szCs w:val="22"/>
        </w:rPr>
        <w:t xml:space="preserve">Communication orale non publiée</w:t>
      </w:r>
    </w:p>
    <w:p>
      <w:pPr>
        <w:spacing w:after="100"/>
        <w:ind w:left="397" w:hanging="397"/>
      </w:pPr>
      <w:r>
        <w:rPr>
          <w:rFonts w:ascii="Times New Roman" w:cs="Times New Roman" w:eastAsia="Times New Roman" w:hAnsi="Times New Roman"/>
          <w:sz w:val="22"/>
          <w:szCs w:val="22"/>
        </w:rPr>
        <w:t xml:space="preserve">Rakoto, A. (2027, March 23–24). </w:t>
      </w:r>
      <w:r>
        <w:rPr>
          <w:rFonts w:ascii="Times New Roman" w:cs="Times New Roman" w:eastAsia="Times New Roman" w:hAnsi="Times New Roman"/>
          <w:i/>
          <w:iCs/>
          <w:sz w:val="22"/>
          <w:szCs w:val="22"/>
        </w:rPr>
        <w:t xml:space="preserve">Usages responsables de l’intelligence artificielle dans la formation des enseignants</w:t>
      </w:r>
      <w:r>
        <w:rPr>
          <w:rFonts w:ascii="Times New Roman" w:cs="Times New Roman" w:eastAsia="Times New Roman" w:hAnsi="Times New Roman"/>
          <w:sz w:val="22"/>
          <w:szCs w:val="22"/>
        </w:rPr>
        <w:t xml:space="preserve"> [Communication orale]. Colloque international Connecter-IA, Fianarantsoa, Madagascar. [Pas de DOI si la communication n’est pas publiée.]</w:t>
      </w:r>
    </w:p>
    <w:p>
      <w:pPr>
        <w:keepNext/>
        <w:pBdr>
          <w:top w:val="single" w:color="999999" w:sz="6" w:space="6"/>
        </w:pBdr>
        <w:spacing w:after="80" w:before="360"/>
      </w:pPr>
      <w:r>
        <w:rPr>
          <w:rFonts w:ascii="Times New Roman" w:cs="Times New Roman" w:eastAsia="Times New Roman" w:hAnsi="Times New Roman"/>
          <w:b/>
          <w:bCs/>
          <w:sz w:val="22"/>
          <w:szCs w:val="22"/>
        </w:rPr>
        <w:t xml:space="preserve">Informations sur les auteurs pour la version finale acceptée</w:t>
      </w:r>
    </w:p>
    <w:p>
      <w:pPr>
        <w:spacing w:after="60"/>
        <w:jc w:val="left"/>
      </w:pPr>
      <w:r>
        <w:rPr>
          <w:rFonts w:ascii="Times New Roman" w:cs="Times New Roman" w:eastAsia="Times New Roman" w:hAnsi="Times New Roman"/>
          <w:sz w:val="22"/>
          <w:szCs w:val="22"/>
        </w:rPr>
        <w:t xml:space="preserve">Prénom NOM¹ [ORCID] • Prénom NOM² [ORCID]</w:t>
      </w:r>
    </w:p>
    <w:p>
      <w:pPr>
        <w:spacing w:after="60"/>
        <w:jc w:val="left"/>
      </w:pPr>
      <w:r>
        <w:rPr>
          <w:rFonts w:ascii="Times New Roman" w:cs="Times New Roman" w:eastAsia="Times New Roman" w:hAnsi="Times New Roman"/>
          <w:sz w:val="22"/>
          <w:szCs w:val="22"/>
        </w:rPr>
        <w:t xml:space="preserve">¹ Institution, ville, pays • ² Institution, ville, pays</w:t>
      </w:r>
    </w:p>
    <w:p>
      <w:pPr>
        <w:spacing w:after="120" w:line="276"/>
        <w:jc w:val="left"/>
      </w:pPr>
      <w:r>
        <w:rPr>
          <w:rFonts w:ascii="Times New Roman" w:cs="Times New Roman" w:eastAsia="Times New Roman" w:hAnsi="Times New Roman"/>
          <w:sz w:val="22"/>
          <w:szCs w:val="22"/>
        </w:rPr>
        <w:t xml:space="preserve">auteur.correspondant@institution.org</w:t>
      </w:r>
    </w:p>
    <w:sectPr>
      <w:headerReference w:type="default" r:id="rId7"/>
      <w:footerReference w:type="default" r:id="rId8"/>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7"/>
        <w:szCs w:val="17"/>
      </w:rPr>
      <w:t xml:space="preserve">Connecter-IA 2027 • </w:t>
    </w:r>
    <w:r>
      <w:rPr>
        <w:rFonts w:ascii="Times New Roman" w:cs="Times New Roman" w:eastAsia="Times New Roman" w:hAnsi="Times New Roman"/>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4" w:space="4"/>
      </w:pBdr>
      <w:jc w:val="center"/>
    </w:pPr>
    <w:r>
      <w:rPr>
        <w:rFonts w:ascii="Times New Roman" w:cs="Times New Roman" w:eastAsia="Times New Roman" w:hAnsi="Times New Roman"/>
        <w:b/>
        <w:bCs/>
        <w:sz w:val="17"/>
        <w:szCs w:val="17"/>
      </w:rPr>
      <w:t xml:space="preserve">COLLOQUE INTERNATIONAL CONNECTER-IA</w:t>
    </w:r>
    <w:r>
      <w:rPr>
        <w:rFonts w:ascii="Times New Roman" w:cs="Times New Roman" w:eastAsia="Times New Roman" w:hAnsi="Times New Roman"/>
        <w:sz w:val="17"/>
        <w:szCs w:val="17"/>
      </w:rPr>
      <w:t xml:space="preserve">  |  </w:t>
    </w:r>
    <w:r>
      <w:rPr>
        <w:rFonts w:ascii="Times New Roman" w:cs="Times New Roman" w:eastAsia="Times New Roman" w:hAnsi="Times New Roman"/>
        <w:b/>
        <w:bCs/>
        <w:sz w:val="17"/>
        <w:szCs w:val="17"/>
      </w:rPr>
      <w:t xml:space="preserve">MODÈLE D’ARTICLE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sz w:val="26"/>
      <w:szCs w:val="26"/>
    </w:rPr>
  </w:style>
  <w:style w:type="paragraph" w:styleId="Heading2">
    <w:name w:val="Heading 2"/>
    <w:basedOn w:val="Normal"/>
    <w:next w:val="Normal"/>
    <w:qFormat/>
    <w:pPr>
      <w:outlineLvl w:val="1"/>
    </w:pPr>
    <w:rPr>
      <w:rFonts w:ascii="Times New Roman" w:cs="Times New Roman" w:eastAsia="Times New Roman" w:hAnsi="Times New Roman"/>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b79e357dfdcbb2f460b0f89f8362d64a3ef616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2026-10-01T09:12:26.319Z</dcterms:created>
  <dcterms:modified xsi:type="dcterms:W3CDTF">2026-10-01T09:12:26.323Z</dcterms:modified>
</cp:coreProperties>
</file>

<file path=docProps/custom.xml><?xml version="1.0" encoding="utf-8"?>
<Properties xmlns="http://schemas.openxmlformats.org/officeDocument/2006/custom-properties" xmlns:vt="http://schemas.openxmlformats.org/officeDocument/2006/docPropsVTypes"/>
</file>